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 xml:space="preserve">                      </w:t>
      </w:r>
      <w:r w:rsidRPr="00775819">
        <w:rPr>
          <w:sz w:val="28"/>
          <w:szCs w:val="28"/>
        </w:rPr>
        <w:t>ЯЗЫКОВАЯ ИГРА КАК СРЕДСТВО СОВЕРШЕНСТВОВАНИЯ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75819">
        <w:rPr>
          <w:sz w:val="28"/>
          <w:szCs w:val="28"/>
        </w:rPr>
        <w:t>ЛИНГВИСТИЧЕСКИХ КОМПЕТЕНЦИЙ МЛАДШИХ ШКОЛЬНИКОВ</w:t>
      </w:r>
    </w:p>
    <w:p w:rsidR="00775819" w:rsidRDefault="00775819" w:rsidP="007758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Курлыкова Ирина Александровна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магистрант, ФГБОУ ВПО Красноярский государственный педагогический университет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им. В.П. Астафьева,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РФ, г. Красноярск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Гладилина Галина Леонидовна</w:t>
      </w:r>
      <w:r>
        <w:rPr>
          <w:sz w:val="28"/>
          <w:szCs w:val="28"/>
        </w:rPr>
        <w:t xml:space="preserve">      </w:t>
      </w:r>
      <w:r w:rsidRPr="00775819">
        <w:rPr>
          <w:sz w:val="28"/>
          <w:szCs w:val="28"/>
        </w:rPr>
        <w:t>научный руководитель, канд. филол. наук, доцент,</w:t>
      </w:r>
      <w:r>
        <w:rPr>
          <w:sz w:val="28"/>
          <w:szCs w:val="28"/>
        </w:rPr>
        <w:t xml:space="preserve">    </w:t>
      </w:r>
      <w:r w:rsidRPr="00775819">
        <w:rPr>
          <w:sz w:val="28"/>
          <w:szCs w:val="28"/>
        </w:rPr>
        <w:t>ФГБОУ ВПО Красноярский государственный педагогический университет.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 xml:space="preserve"> В.П. Астафьева,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РФ, г. Красноярск;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Аннотация. В статье представлены результаты опытно – экспериментальной работы,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проведенной с целью выявления возможностей совершенствования языковых компетенций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младших школьников на основе использования языковой игры.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Ключевые слова: языковая компетенция, ФГОС НОО, начальная школа, младшие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школьники, языковая игра.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Развитие технологий, глобализация знаний в современном мире ставит перед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начальной школьной новые образовательные задачи – не только дать определенные знания,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но и научить пользоваться ими, применять в разных условиях. Поэтому Федеральный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государственный образовательный стандарт выдвигает такие требования к формированию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лингвистических компетенций, как … [1]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Одним из способов формирования лингвистических компетенций является языковая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игра, которая, по мнению ее исследователей, является, с одной стороны, одним из путей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обогащения языка, а с другой стороны, способствует глубокому усвоению языковых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категорий. Для того чтобы осознанно отступать от нормы, необходимо осмысление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закономерностей языка. В.З. Санников в монографии «Русский язык в зеркале языковой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игры» приводит очень важное в этом отношении замечание театрального критика и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драматурга XIX в. Н.И. Хмельницкого: «...напав на какое-нибудь слово, играю им, как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мячиком... Поверьте, если бы мы по чаще играли таким мячиком, то скорей бы приучились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владеть языком, который не довольно еще гибок для языка разговорного». [2]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 предлагаемой статье отражены результаты экспериментальной работы над усвоением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лингвистических компетенций младших школьников на основе анализа художественных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текстов для детей, содержащих языковую игру.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Лингвистический материал был разграничен в соответствии с уровнями языка: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lastRenderedPageBreak/>
        <w:t>фонетическим, грамматическим, лексико – семантическим. Учащиеся знакомились с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художественными произведениями, с помощью учителя работали над их содержанием.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Осуществлялись попытки обнаружить языковую игру, дать ее обоснование при актуализации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знаний на определенном уровне языка. Языковая игра очень ярко представлена в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произведениях Б.В. Заходера, Н.Н. Носова, Н. Кончаловской, А. Шибаева и других авторов.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Рассмотрим некоторые примеры работы с языковой шуткой на основе анализа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языковых явлений.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Для анализа предлагалось стихотворение Б.В. Заходера «Кавот и Камут»: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Мне с постели вставать неохота: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Я боюсь наступить на Кавота, —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У меня под кроватью живет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Симпатичнейший в мире Кавот.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И еще с ним такая забота: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Накормить невозможно Кавота,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Так как каждый кусок почему-то</w:t>
      </w:r>
    </w:p>
    <w:p w:rsidR="0070168F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Попадает в желудок Камута</w:t>
      </w:r>
    </w:p>
    <w:p w:rsidR="00775819" w:rsidRDefault="00775819" w:rsidP="007758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0168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(Б. Заходер)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Научный журнал «Студенческий форум». № 42(135),</w:t>
      </w:r>
      <w:r>
        <w:rPr>
          <w:sz w:val="28"/>
          <w:szCs w:val="28"/>
        </w:rPr>
        <w:t xml:space="preserve">   декабрь, часть 1, 2020 г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Учащимся задавался вопрос, почему стихотворение так называется, есть ли в русском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языке слова кавот и камут. Дети замечали, что такого слова нет. Учитель предлагал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послушать, как звучат эти слова, и записать их в фонетической транскрипции. Наблюдения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над произношением слов [кавОта] [камУта] позволили сделать вывод о том, что в форме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родительного и дательного падежа их звуковой состав соответствует известным словам,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местоимениям кого-то и кому-то (Я боюсь наступить на кого-то, Попадает в желудок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кому-то). Путем сравнения звукового и графического оформления слов [кавОта] (кого-то)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и [камУта] (кому-то) ученики приходили к выводу о том, что на месте буквы О в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безударном положении в этих словах произносится звук [а], а на месте буквы Г – звук [в].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Герой стихотворения в результате совмещения и смешения фонемного состава слов с их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звуковым составом соотносит звучание неопределенных местоимений с названиями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неизвестных фантастических существ. Эти названия он образует по модели таких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существительных 2-го склонения, как волк, удав, слон и т.п., имеющих соответствующие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окончания в формах родительного и дательного падежа (удав – удава, слон – слона, кавот -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lastRenderedPageBreak/>
        <w:t>кавота).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Ставился вопрос, почему на месте буквы Г в окончаниях прилагательных и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местоимений произносится звук [в]. Это связано с историей русской азбуки. В форме беседы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дети познакомились с тем, что русский алфавит называется еще кириллическим в часть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составителей славянской азбуки Кирилла (до принятия монашеского сана – Константина) и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Мефодия, которые сделали первые переводы христианских богослужебных книг с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греческого языка на славянский язык. Для этого они разработали систему славянских букв.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Так возникла славянская азбука, а язык текстов, написанных на этом языке, называется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старославянским языком. В конце Х в., после принятия христианства на Руси, восточные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славяне познакомились с литургическими текстами, записанными на старославянском языке.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Образцы старославянского языка использовались сначала в церковном обиходе, а затем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получили распространение в других сферах (деловом языке, а впоследствии и в быту).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Некоторые правила звукового оформления старославянского языка не совпадали с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произношением русских людей, однако в письменной речи традиционно закрепились.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Например, буква Г в окончаниях прилагательных и местоимений, изменяющихся как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прилагательные.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Наблюдения над графико – орфографическим оформлением слова производились при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знакомстве со стихотворением Б. Заходера «Странное происшествие».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Однажды,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Точнее, когда-то и где-то,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 голодным Котом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Повстречалась Котлета.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Котлета, представьте,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Всплеснула руками: —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Ах, как же я счастлива,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Встретиться с вами!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Ах, если б вы знали,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Как жаждут Котлеты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Узнать ваши тайны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И ваши секреты!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Скажите скорее,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Какого вы рода?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lastRenderedPageBreak/>
        <w:t>Вернее — какого вы времени года: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Кот осени вы?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Кот весны?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Кот зимы?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А может быть,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Тоже Кот лета,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Как мы?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А может быть,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Вы даже кот — круглый год?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А может быть, может быть,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Вы — Антрекот?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Кот лишь улыбнулся ей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Вместо ответа — и сразу куда-то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исчезла котлета.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0168F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         </w:t>
      </w:r>
      <w:r w:rsidRPr="00775819">
        <w:rPr>
          <w:sz w:val="28"/>
          <w:szCs w:val="28"/>
        </w:rPr>
        <w:t>(Б. Заходер)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Научный журнал «Студенческий форум». № 42(135), декабрь, часть 1, 2020 г.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Учащимся предлагалось дать определение слову котлета, обращаясь к толковым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словарям русского языка: «Мясное и не мясное блюдо в виде лепешки» [3]. Задавался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вопрос: «На какие слова можно разделить записанное слово котлета, если сделать пробел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внутри слова»?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Школьники приходили к выводу о том, что с помощью пробела можно одно слово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разделить на несколько. Разбив слово котлета на две части, они получили словоформы кот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и лета. Выяснялось, что в русском языке форма существительного в родительном падеже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лета сочетается с другими существительными, обозначающими начало, продолжение или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окончание чего-либо, например: часть лета, конец (начало, середина) лета. Однако в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сочетании со словом кот форма лета употребляться не может, но если пофантазировать, то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получится, что кот, который встретился летом, может называться кот лета. Тогда по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аналогии возможен кот весны, кот зимы, кот осени. Такая игра со словом является еще и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мнемоническим приемом для усвоения правописания безударной гласной О в корне слова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котлета.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Наблюдения над словом антрекот тоже позволят выделить часть кот. Что же такое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оставшаяся часть антре? Учащиеся знакомились со значениями слова антрекот: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«1. Межреберная часть говяжьего мяса; 2. Кушанье, приготовленное из такого мяса» [4]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Дети при знакомстве со словом антрекот выяснили, что часть антре у слова антрекот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 xml:space="preserve">заимствована из французского языка (от фр. entrée — вход, </w:t>
      </w:r>
      <w:r w:rsidRPr="00775819">
        <w:rPr>
          <w:sz w:val="28"/>
          <w:szCs w:val="28"/>
        </w:rPr>
        <w:lastRenderedPageBreak/>
        <w:t>вступление [5]. Предлагалось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вспомнить, какие еще в русском языке есть слова с такой частью (антресоль), какие</w:t>
      </w:r>
      <w:r>
        <w:rPr>
          <w:sz w:val="28"/>
          <w:szCs w:val="28"/>
        </w:rPr>
        <w:t xml:space="preserve">   </w:t>
      </w:r>
      <w:r w:rsidRPr="00775819">
        <w:rPr>
          <w:sz w:val="28"/>
          <w:szCs w:val="28"/>
        </w:rPr>
        <w:t>значения имеет слово антре [5]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В заключение предлагалось подумать над смыслом конечных строчек стихотворения: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«Кот лишь улыбнулся ей вместо ответа — и сразу куда-то исчезла котлета». Учащиеся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отвечали на вопрос (котлету съел кот) и выясняли, какой переносный смысл может быть у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этих строк (например, кто много говорит, тот часто терпит неудачу).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Таким образом, наблюдения над произведениями детской литературы, содержащими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языковую игру, способствует развитию лингвистической интуиции, умению вслушиваться в</w:t>
      </w:r>
      <w:r>
        <w:rPr>
          <w:sz w:val="28"/>
          <w:szCs w:val="28"/>
        </w:rPr>
        <w:t xml:space="preserve">  </w:t>
      </w:r>
      <w:r w:rsidRPr="00775819">
        <w:rPr>
          <w:sz w:val="28"/>
          <w:szCs w:val="28"/>
        </w:rPr>
        <w:t>звучание слова, вдумываться в его смысл, соотносить звучащее слово и его графико –</w:t>
      </w:r>
      <w:r>
        <w:rPr>
          <w:sz w:val="28"/>
          <w:szCs w:val="28"/>
        </w:rPr>
        <w:t xml:space="preserve"> </w:t>
      </w:r>
      <w:r w:rsidRPr="00775819">
        <w:rPr>
          <w:sz w:val="28"/>
          <w:szCs w:val="28"/>
        </w:rPr>
        <w:t>орфографическое оформление, знакомиться с новыми словами и их значениями.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Список литературы: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1. Федеральный Государственный Образовательный Стандарт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[http://www.edu21.cap.ru/home/6984/dok/4rus.doc].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2. В.З. Санников. Русский язык в зеркале языковой игры выпуска: 2002 Жанр: монография,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лингвистика Издательство: Москва. Языки славянской культуры Серия: Язык.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Семиотика. Культура ISBN: 5-94457-037-7.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3. Ссылка: http://slovariki.org/tolkovyj-clovar-ozegova/12902,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4. https://lexicography.online/explanatory/efremova/ ссылка на словарь: Ефремова Т.Ф.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Толковый словарь русского языка).</w:t>
      </w:r>
    </w:p>
    <w:p w:rsidR="00775819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5. https://kartaslov.ru</w:t>
      </w:r>
    </w:p>
    <w:p w:rsidR="00F95D2F" w:rsidRPr="00775819" w:rsidRDefault="00775819" w:rsidP="00775819">
      <w:pPr>
        <w:spacing w:after="0"/>
        <w:jc w:val="both"/>
        <w:rPr>
          <w:sz w:val="28"/>
          <w:szCs w:val="28"/>
        </w:rPr>
      </w:pPr>
      <w:r w:rsidRPr="00775819">
        <w:rPr>
          <w:sz w:val="28"/>
          <w:szCs w:val="28"/>
        </w:rPr>
        <w:t>6. https://slovar.cc/rus/tolk/4236.html</w:t>
      </w:r>
    </w:p>
    <w:sectPr w:rsidR="00F95D2F" w:rsidRPr="0077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19"/>
    <w:rsid w:val="0070168F"/>
    <w:rsid w:val="00775819"/>
    <w:rsid w:val="00F9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2022-05-19T13:41:00Z</dcterms:created>
  <dcterms:modified xsi:type="dcterms:W3CDTF">2022-05-19T13:52:00Z</dcterms:modified>
</cp:coreProperties>
</file>